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1D2F020" w14:textId="4F7E9CD5" w:rsidR="00C94B87" w:rsidRPr="008F2724" w:rsidRDefault="00C94B87" w:rsidP="003C4392">
      <w:pPr>
        <w:jc w:val="center"/>
        <w:rPr>
          <w:rFonts w:eastAsia="Times New Roman"/>
        </w:rPr>
      </w:pPr>
      <w:r w:rsidRPr="008F2724">
        <w:rPr>
          <w:rFonts w:eastAsia="Times New Roman"/>
        </w:rPr>
        <w:fldChar w:fldCharType="begin"/>
      </w:r>
      <w:r w:rsidR="00197C18">
        <w:rPr>
          <w:rFonts w:eastAsia="Times New Roman"/>
        </w:rPr>
        <w:instrText xml:space="preserve"> INCLUDEPICTURE "C:\\var\\folders\\9f\\wrjd0y8d5cjcr0bgyhh055qh0000gn\\T\\com.microsoft.Word\\WebArchiveCopyPasteTempFiles\\page1image2430404752" \* MERGEFORMAT </w:instrText>
      </w:r>
      <w:r w:rsidRPr="008F2724">
        <w:rPr>
          <w:rFonts w:eastAsia="Times New Roman"/>
        </w:rPr>
        <w:fldChar w:fldCharType="separate"/>
      </w:r>
      <w:r w:rsidRPr="008F2724">
        <w:rPr>
          <w:rFonts w:eastAsia="Times New Roman"/>
          <w:noProof/>
          <w:lang w:val="en-GB" w:eastAsia="en-GB"/>
        </w:rPr>
        <w:drawing>
          <wp:inline distT="0" distB="0" distL="0" distR="0" wp14:anchorId="3A9FF349" wp14:editId="254510B0">
            <wp:extent cx="863600" cy="914400"/>
            <wp:effectExtent l="0" t="0" r="0" b="0"/>
            <wp:docPr id="2" name="Picture 2" descr="page1image243040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4304047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914400"/>
                    </a:xfrm>
                    <a:prstGeom prst="rect">
                      <a:avLst/>
                    </a:prstGeom>
                    <a:noFill/>
                    <a:ln>
                      <a:noFill/>
                    </a:ln>
                  </pic:spPr>
                </pic:pic>
              </a:graphicData>
            </a:graphic>
          </wp:inline>
        </w:drawing>
      </w:r>
      <w:r w:rsidRPr="008F2724">
        <w:rPr>
          <w:rFonts w:eastAsia="Times New Roman"/>
        </w:rPr>
        <w:fldChar w:fldCharType="end"/>
      </w:r>
    </w:p>
    <w:p w14:paraId="4452E174" w14:textId="4D43C9D3" w:rsidR="00C94B87" w:rsidRPr="006107FA" w:rsidRDefault="00C94B87" w:rsidP="003C4392">
      <w:pPr>
        <w:jc w:val="center"/>
        <w:rPr>
          <w:rFonts w:ascii="Garamond" w:eastAsia="Times New Roman" w:hAnsi="Garamond"/>
          <w:b/>
          <w:bCs/>
          <w:sz w:val="28"/>
          <w:szCs w:val="28"/>
        </w:rPr>
      </w:pPr>
      <w:r w:rsidRPr="006107FA">
        <w:rPr>
          <w:rFonts w:ascii="Garamond" w:eastAsia="Times New Roman" w:hAnsi="Garamond"/>
          <w:b/>
          <w:bCs/>
          <w:sz w:val="28"/>
          <w:szCs w:val="28"/>
        </w:rPr>
        <w:t xml:space="preserve">The Exeter College Summer </w:t>
      </w:r>
      <w:proofErr w:type="spellStart"/>
      <w:r w:rsidRPr="006107FA">
        <w:rPr>
          <w:rFonts w:ascii="Garamond" w:eastAsia="Times New Roman" w:hAnsi="Garamond"/>
          <w:b/>
          <w:bCs/>
          <w:sz w:val="28"/>
          <w:szCs w:val="28"/>
        </w:rPr>
        <w:t>Programme</w:t>
      </w:r>
      <w:proofErr w:type="spellEnd"/>
      <w:r w:rsidRPr="006107FA">
        <w:rPr>
          <w:rFonts w:ascii="Garamond" w:eastAsia="Times New Roman" w:hAnsi="Garamond"/>
          <w:b/>
          <w:bCs/>
          <w:sz w:val="28"/>
          <w:szCs w:val="28"/>
        </w:rPr>
        <w:t xml:space="preserve"> </w:t>
      </w:r>
      <w:r w:rsidR="00B45A2E" w:rsidRPr="006107FA">
        <w:rPr>
          <w:rFonts w:ascii="Garamond" w:eastAsia="Times New Roman" w:hAnsi="Garamond"/>
          <w:b/>
          <w:bCs/>
          <w:sz w:val="28"/>
          <w:szCs w:val="28"/>
        </w:rPr>
        <w:br/>
      </w:r>
      <w:r w:rsidRPr="006107FA">
        <w:rPr>
          <w:rFonts w:ascii="Garamond" w:eastAsia="Times New Roman" w:hAnsi="Garamond"/>
          <w:b/>
          <w:bCs/>
          <w:sz w:val="28"/>
          <w:szCs w:val="28"/>
        </w:rPr>
        <w:t>at Exeter College in the University of Oxford</w:t>
      </w:r>
    </w:p>
    <w:p w14:paraId="0B54BF83" w14:textId="77777777" w:rsidR="006107FA" w:rsidRDefault="006107FA" w:rsidP="006107FA">
      <w:pPr>
        <w:rPr>
          <w:rFonts w:ascii="Garamond" w:eastAsia="Times New Roman" w:hAnsi="Garamond"/>
          <w:b/>
          <w:bCs/>
        </w:rPr>
      </w:pPr>
    </w:p>
    <w:p w14:paraId="44A1E5D5" w14:textId="590E0EA5" w:rsidR="00363C47" w:rsidRPr="006107FA" w:rsidRDefault="00363C47" w:rsidP="003C4392">
      <w:pPr>
        <w:jc w:val="center"/>
        <w:rPr>
          <w:rFonts w:ascii="Garamond" w:eastAsia="Times New Roman" w:hAnsi="Garamond"/>
          <w:b/>
          <w:bCs/>
          <w:sz w:val="28"/>
          <w:szCs w:val="28"/>
        </w:rPr>
      </w:pPr>
      <w:r w:rsidRPr="006107FA">
        <w:rPr>
          <w:rFonts w:ascii="Garamond" w:eastAsia="Times New Roman" w:hAnsi="Garamond"/>
          <w:b/>
          <w:bCs/>
          <w:sz w:val="28"/>
          <w:szCs w:val="28"/>
        </w:rPr>
        <w:t>Individual Research Tutorial Proposal Form</w:t>
      </w:r>
    </w:p>
    <w:p w14:paraId="49F6BF5C" w14:textId="77777777" w:rsidR="003C4392" w:rsidRDefault="003C4392" w:rsidP="003C4392">
      <w:pPr>
        <w:pStyle w:val="Body"/>
        <w:rPr>
          <w:rFonts w:ascii="Garamond" w:hAnsi="Garamond"/>
          <w:b/>
          <w:bCs/>
          <w:sz w:val="24"/>
          <w:szCs w:val="24"/>
          <w:lang w:val="de-DE"/>
        </w:rPr>
      </w:pPr>
    </w:p>
    <w:p w14:paraId="5CF8C372" w14:textId="55FB8D11" w:rsidR="003F1B85" w:rsidRPr="00363C47" w:rsidRDefault="0021668E" w:rsidP="003C4392">
      <w:pPr>
        <w:pStyle w:val="Body"/>
        <w:rPr>
          <w:rFonts w:ascii="Garamond" w:eastAsia="Times" w:hAnsi="Garamond" w:cs="Times"/>
          <w:sz w:val="24"/>
          <w:szCs w:val="24"/>
        </w:rPr>
      </w:pPr>
      <w:r w:rsidRPr="00363C47">
        <w:rPr>
          <w:rFonts w:ascii="Garamond" w:hAnsi="Garamond"/>
          <w:b/>
          <w:bCs/>
          <w:sz w:val="24"/>
          <w:szCs w:val="24"/>
          <w:lang w:val="de-DE"/>
        </w:rPr>
        <w:t>Name</w:t>
      </w:r>
      <w:r w:rsidRPr="00363C47">
        <w:rPr>
          <w:rFonts w:ascii="Garamond" w:hAnsi="Garamond"/>
          <w:sz w:val="24"/>
          <w:szCs w:val="24"/>
        </w:rPr>
        <w:t xml:space="preserve">: </w:t>
      </w:r>
      <w:r w:rsidR="00B23D28">
        <w:rPr>
          <w:rFonts w:ascii="Garamond" w:hAnsi="Garamond"/>
          <w:sz w:val="24"/>
          <w:szCs w:val="24"/>
        </w:rPr>
        <w:t>John Cooney</w:t>
      </w:r>
    </w:p>
    <w:p w14:paraId="0C452B71" w14:textId="77777777" w:rsidR="003F1B85" w:rsidRPr="00363C47" w:rsidRDefault="003F1B85" w:rsidP="003C4392">
      <w:pPr>
        <w:pStyle w:val="Body"/>
        <w:rPr>
          <w:rFonts w:ascii="Garamond" w:eastAsia="Times" w:hAnsi="Garamond" w:cs="Times"/>
          <w:sz w:val="24"/>
          <w:szCs w:val="24"/>
        </w:rPr>
      </w:pPr>
    </w:p>
    <w:p w14:paraId="54A047D2" w14:textId="612FF7F1" w:rsidR="003F1B85" w:rsidRPr="00B23D28" w:rsidRDefault="0021668E" w:rsidP="003C4392">
      <w:pPr>
        <w:pStyle w:val="Body"/>
        <w:rPr>
          <w:rFonts w:ascii="Garamond" w:eastAsia="Times" w:hAnsi="Garamond" w:cs="Times"/>
          <w:bCs/>
          <w:sz w:val="24"/>
          <w:szCs w:val="24"/>
        </w:rPr>
      </w:pPr>
      <w:r w:rsidRPr="00363C47">
        <w:rPr>
          <w:rFonts w:ascii="Garamond" w:hAnsi="Garamond"/>
          <w:b/>
          <w:bCs/>
          <w:sz w:val="24"/>
          <w:szCs w:val="24"/>
          <w:lang w:val="en-US"/>
        </w:rPr>
        <w:t>Home University:</w:t>
      </w:r>
      <w:r w:rsidR="00B23D28">
        <w:rPr>
          <w:rFonts w:ascii="Garamond" w:hAnsi="Garamond"/>
          <w:b/>
          <w:bCs/>
          <w:sz w:val="24"/>
          <w:szCs w:val="24"/>
          <w:lang w:val="en-US"/>
        </w:rPr>
        <w:t xml:space="preserve"> </w:t>
      </w:r>
      <w:r w:rsidR="00B23D28">
        <w:rPr>
          <w:rFonts w:ascii="Garamond" w:hAnsi="Garamond"/>
          <w:bCs/>
          <w:sz w:val="24"/>
          <w:szCs w:val="24"/>
          <w:lang w:val="en-US"/>
        </w:rPr>
        <w:t>Carroll College</w:t>
      </w:r>
    </w:p>
    <w:p w14:paraId="4DDC69AF" w14:textId="77777777" w:rsidR="003F1B85" w:rsidRPr="00363C47" w:rsidRDefault="003F1B85" w:rsidP="003C4392">
      <w:pPr>
        <w:pStyle w:val="Body"/>
        <w:rPr>
          <w:rFonts w:ascii="Garamond" w:eastAsia="Times" w:hAnsi="Garamond" w:cs="Times"/>
          <w:sz w:val="24"/>
          <w:szCs w:val="24"/>
        </w:rPr>
      </w:pPr>
    </w:p>
    <w:p w14:paraId="1BCF4C46" w14:textId="19BBEFC4" w:rsidR="003F1B85" w:rsidRPr="00B23D28" w:rsidRDefault="0021668E" w:rsidP="003C4392">
      <w:pPr>
        <w:pStyle w:val="Body"/>
        <w:rPr>
          <w:rFonts w:ascii="Garamond" w:eastAsia="Times" w:hAnsi="Garamond" w:cs="Times"/>
          <w:bCs/>
          <w:sz w:val="24"/>
          <w:szCs w:val="24"/>
        </w:rPr>
      </w:pPr>
      <w:r w:rsidRPr="00363C47">
        <w:rPr>
          <w:rFonts w:ascii="Garamond" w:hAnsi="Garamond"/>
          <w:b/>
          <w:bCs/>
          <w:sz w:val="24"/>
          <w:szCs w:val="24"/>
          <w:lang w:val="en-US"/>
        </w:rPr>
        <w:t>Home Degree Major:</w:t>
      </w:r>
      <w:r w:rsidR="00B23D28">
        <w:rPr>
          <w:rFonts w:ascii="Garamond" w:hAnsi="Garamond"/>
          <w:b/>
          <w:bCs/>
          <w:sz w:val="24"/>
          <w:szCs w:val="24"/>
          <w:lang w:val="en-US"/>
        </w:rPr>
        <w:t xml:space="preserve"> </w:t>
      </w:r>
      <w:r w:rsidR="00B23D28">
        <w:rPr>
          <w:rFonts w:ascii="Garamond" w:hAnsi="Garamond"/>
          <w:bCs/>
          <w:sz w:val="24"/>
          <w:szCs w:val="24"/>
          <w:lang w:val="en-US"/>
        </w:rPr>
        <w:t>Theology &amp; Philosophy (Minor in Political Science)</w:t>
      </w:r>
    </w:p>
    <w:p w14:paraId="7827B71F" w14:textId="77777777" w:rsidR="003F1B85" w:rsidRPr="00363C47" w:rsidRDefault="003F1B85" w:rsidP="003C4392">
      <w:pPr>
        <w:pStyle w:val="Body"/>
        <w:rPr>
          <w:rFonts w:ascii="Garamond" w:eastAsia="Times" w:hAnsi="Garamond" w:cs="Times"/>
          <w:sz w:val="24"/>
          <w:szCs w:val="24"/>
        </w:rPr>
      </w:pPr>
    </w:p>
    <w:p w14:paraId="26A92B8E" w14:textId="19869C78" w:rsidR="003F1B85" w:rsidRPr="00B23D28" w:rsidRDefault="0021668E" w:rsidP="003C4392">
      <w:pPr>
        <w:pStyle w:val="Body"/>
        <w:rPr>
          <w:rFonts w:ascii="Garamond" w:hAnsi="Garamond"/>
          <w:bCs/>
          <w:sz w:val="24"/>
          <w:szCs w:val="24"/>
          <w:lang w:val="en-US"/>
        </w:rPr>
      </w:pPr>
      <w:r w:rsidRPr="00363C47">
        <w:rPr>
          <w:rFonts w:ascii="Garamond" w:hAnsi="Garamond"/>
          <w:b/>
          <w:bCs/>
          <w:sz w:val="24"/>
          <w:szCs w:val="24"/>
          <w:lang w:val="en-US"/>
        </w:rPr>
        <w:t>Expected Graduation Date:</w:t>
      </w:r>
      <w:r w:rsidR="00B23D28">
        <w:rPr>
          <w:rFonts w:ascii="Garamond" w:hAnsi="Garamond"/>
          <w:b/>
          <w:bCs/>
          <w:sz w:val="24"/>
          <w:szCs w:val="24"/>
          <w:lang w:val="en-US"/>
        </w:rPr>
        <w:t xml:space="preserve"> </w:t>
      </w:r>
      <w:r w:rsidR="00B23D28">
        <w:rPr>
          <w:rFonts w:ascii="Garamond" w:hAnsi="Garamond"/>
          <w:bCs/>
          <w:sz w:val="24"/>
          <w:szCs w:val="24"/>
          <w:lang w:val="en-US"/>
        </w:rPr>
        <w:t>May 2020</w:t>
      </w:r>
    </w:p>
    <w:p w14:paraId="298E7353" w14:textId="58EAF065" w:rsidR="00363C47" w:rsidRDefault="00363C47" w:rsidP="003C4392">
      <w:pPr>
        <w:pStyle w:val="Body"/>
        <w:rPr>
          <w:rFonts w:ascii="Garamond" w:eastAsia="Times" w:hAnsi="Garamond" w:cs="Times"/>
          <w:b/>
          <w:bCs/>
          <w:sz w:val="24"/>
          <w:szCs w:val="24"/>
        </w:rPr>
      </w:pPr>
    </w:p>
    <w:p w14:paraId="42F8B3D6" w14:textId="7DA80BEC" w:rsidR="003F1B85" w:rsidRPr="00B23D28" w:rsidRDefault="00363C47" w:rsidP="003C4392">
      <w:pPr>
        <w:pStyle w:val="Body"/>
        <w:rPr>
          <w:rFonts w:ascii="Garamond" w:eastAsia="Times" w:hAnsi="Garamond" w:cs="Times"/>
          <w:bCs/>
          <w:sz w:val="24"/>
          <w:szCs w:val="24"/>
        </w:rPr>
      </w:pPr>
      <w:r>
        <w:rPr>
          <w:rFonts w:ascii="Garamond" w:eastAsia="Times" w:hAnsi="Garamond" w:cs="Times"/>
          <w:b/>
          <w:bCs/>
          <w:sz w:val="24"/>
          <w:szCs w:val="24"/>
        </w:rPr>
        <w:t>ECSP course you would like to substitute for the IRT:</w:t>
      </w:r>
      <w:r w:rsidR="00B23D28">
        <w:rPr>
          <w:rFonts w:ascii="Garamond" w:eastAsia="Times" w:hAnsi="Garamond" w:cs="Times"/>
          <w:b/>
          <w:bCs/>
          <w:sz w:val="24"/>
          <w:szCs w:val="24"/>
        </w:rPr>
        <w:t xml:space="preserve"> </w:t>
      </w:r>
      <w:r w:rsidR="00B23D28">
        <w:rPr>
          <w:rFonts w:ascii="Garamond" w:eastAsia="Times" w:hAnsi="Garamond" w:cs="Times"/>
          <w:bCs/>
          <w:sz w:val="24"/>
          <w:szCs w:val="24"/>
        </w:rPr>
        <w:t>How to Read Paintings</w:t>
      </w:r>
    </w:p>
    <w:p w14:paraId="29A938BA" w14:textId="77777777" w:rsidR="00363C47" w:rsidRDefault="00363C47" w:rsidP="003C4392">
      <w:pPr>
        <w:pStyle w:val="Body"/>
        <w:rPr>
          <w:rFonts w:ascii="Garamond" w:hAnsi="Garamond"/>
          <w:b/>
          <w:bCs/>
          <w:sz w:val="24"/>
          <w:szCs w:val="24"/>
          <w:lang w:val="en-US"/>
        </w:rPr>
      </w:pPr>
    </w:p>
    <w:p w14:paraId="7010102C" w14:textId="6DA294BE" w:rsidR="00363C47" w:rsidRPr="00694557" w:rsidRDefault="00363C47" w:rsidP="003C4392">
      <w:pPr>
        <w:pStyle w:val="Body"/>
        <w:rPr>
          <w:rFonts w:ascii="Garamond" w:eastAsia="Times" w:hAnsi="Garamond" w:cs="Times"/>
          <w:bCs/>
          <w:sz w:val="24"/>
          <w:szCs w:val="24"/>
        </w:rPr>
      </w:pPr>
      <w:r w:rsidRPr="00363C47">
        <w:rPr>
          <w:rFonts w:ascii="Garamond" w:hAnsi="Garamond"/>
          <w:b/>
          <w:bCs/>
          <w:sz w:val="24"/>
          <w:szCs w:val="24"/>
          <w:lang w:val="en-US"/>
        </w:rPr>
        <w:t>Title of your Proposal:</w:t>
      </w:r>
      <w:r w:rsidR="00B23D28">
        <w:rPr>
          <w:rFonts w:ascii="Garamond" w:hAnsi="Garamond"/>
          <w:b/>
          <w:bCs/>
          <w:sz w:val="24"/>
          <w:szCs w:val="24"/>
          <w:lang w:val="en-US"/>
        </w:rPr>
        <w:t xml:space="preserve"> </w:t>
      </w:r>
      <w:r w:rsidR="00694557">
        <w:rPr>
          <w:rFonts w:ascii="Garamond" w:hAnsi="Garamond"/>
          <w:bCs/>
          <w:sz w:val="24"/>
          <w:szCs w:val="24"/>
          <w:lang w:val="en-US"/>
        </w:rPr>
        <w:t>“Recapitulation and Satisfaction: A comparative study of Atonement Theories in St. Irenaeus and St. Anselm”</w:t>
      </w:r>
    </w:p>
    <w:p w14:paraId="5EC1C9F0" w14:textId="77777777" w:rsidR="00363C47" w:rsidRDefault="00363C47" w:rsidP="003C4392">
      <w:pPr>
        <w:pStyle w:val="Body"/>
        <w:rPr>
          <w:rFonts w:ascii="Garamond" w:hAnsi="Garamond"/>
          <w:b/>
          <w:bCs/>
          <w:sz w:val="24"/>
          <w:szCs w:val="24"/>
          <w:lang w:val="en-US"/>
        </w:rPr>
      </w:pPr>
    </w:p>
    <w:p w14:paraId="072083AB" w14:textId="5D96910F" w:rsidR="003F1B85" w:rsidRPr="00363C47" w:rsidRDefault="0021668E" w:rsidP="003C4392">
      <w:pPr>
        <w:pStyle w:val="Body"/>
        <w:rPr>
          <w:rFonts w:ascii="Garamond" w:eastAsia="Times" w:hAnsi="Garamond" w:cs="Times"/>
          <w:sz w:val="24"/>
          <w:szCs w:val="24"/>
        </w:rPr>
      </w:pPr>
      <w:r w:rsidRPr="00363C47">
        <w:rPr>
          <w:rFonts w:ascii="Garamond" w:hAnsi="Garamond"/>
          <w:b/>
          <w:bCs/>
          <w:sz w:val="24"/>
          <w:szCs w:val="24"/>
          <w:lang w:val="en-US"/>
        </w:rPr>
        <w:t>Subject Area of this Proposal</w:t>
      </w:r>
      <w:r w:rsidRPr="00363C47">
        <w:rPr>
          <w:rFonts w:ascii="Garamond" w:hAnsi="Garamond"/>
          <w:sz w:val="24"/>
          <w:szCs w:val="24"/>
        </w:rPr>
        <w:t>:</w:t>
      </w:r>
      <w:r w:rsidR="00B23D28">
        <w:rPr>
          <w:rFonts w:ascii="Garamond" w:hAnsi="Garamond"/>
          <w:sz w:val="24"/>
          <w:szCs w:val="24"/>
        </w:rPr>
        <w:t xml:space="preserve"> Theology (soteriology; patristics; medieval) </w:t>
      </w:r>
    </w:p>
    <w:p w14:paraId="0567ECB3" w14:textId="77777777" w:rsidR="003F1B85" w:rsidRPr="00363C47" w:rsidRDefault="003F1B85" w:rsidP="003C4392">
      <w:pPr>
        <w:pStyle w:val="Body"/>
        <w:rPr>
          <w:rFonts w:ascii="Garamond" w:eastAsia="Times" w:hAnsi="Garamond" w:cs="Times"/>
          <w:sz w:val="24"/>
          <w:szCs w:val="24"/>
        </w:rPr>
      </w:pPr>
    </w:p>
    <w:p w14:paraId="4261CC5B" w14:textId="77777777" w:rsidR="00197C18" w:rsidRPr="00363C47" w:rsidRDefault="00197C18" w:rsidP="003C4392">
      <w:pPr>
        <w:pStyle w:val="Body"/>
        <w:rPr>
          <w:rFonts w:ascii="Garamond" w:hAnsi="Garamond"/>
          <w:bCs/>
          <w:i/>
          <w:sz w:val="24"/>
          <w:szCs w:val="24"/>
          <w:lang w:val="en-US"/>
        </w:rPr>
      </w:pPr>
      <w:r w:rsidRPr="00363C47">
        <w:rPr>
          <w:rFonts w:ascii="Garamond" w:hAnsi="Garamond"/>
          <w:b/>
          <w:bCs/>
          <w:sz w:val="24"/>
          <w:szCs w:val="24"/>
          <w:lang w:val="en-US"/>
        </w:rPr>
        <w:t>Briefly describe your proposal in no more than 250 words.</w:t>
      </w:r>
    </w:p>
    <w:p w14:paraId="7EF03DA1" w14:textId="77777777" w:rsidR="003F1B85" w:rsidRPr="00363C47" w:rsidRDefault="003F1B85" w:rsidP="003C4392">
      <w:pPr>
        <w:pStyle w:val="Body"/>
        <w:rPr>
          <w:rFonts w:ascii="Garamond" w:eastAsia="Times" w:hAnsi="Garamond" w:cs="Times"/>
          <w:sz w:val="24"/>
          <w:szCs w:val="24"/>
        </w:rPr>
      </w:pPr>
    </w:p>
    <w:p w14:paraId="085C024F" w14:textId="77777777" w:rsidR="00B23D28" w:rsidRDefault="00B23D28" w:rsidP="00B23D28">
      <w:pPr>
        <w:pStyle w:val="Body"/>
        <w:ind w:firstLine="720"/>
        <w:rPr>
          <w:rFonts w:ascii="Garamond" w:hAnsi="Garamond"/>
          <w:bCs/>
          <w:sz w:val="24"/>
          <w:szCs w:val="24"/>
          <w:lang w:val="en-US"/>
        </w:rPr>
      </w:pPr>
      <w:r>
        <w:rPr>
          <w:rFonts w:ascii="Garamond" w:hAnsi="Garamond"/>
          <w:bCs/>
          <w:sz w:val="24"/>
          <w:szCs w:val="24"/>
          <w:lang w:val="en-US"/>
        </w:rPr>
        <w:t>Throughout the Early and Medieval periods of Church history, two major theories of atonement came to dominate discussions of soteriology.  The first was recapitulation theory—most prominently articulated by Saint Irenaeus of Lyons; the second was satisfaction theory as developed by Saint Anselm of Canterbury.  While each theory—as evidenced by their lasting influence on theology—provides something of value to considerations of salvation and atonement, each also emphasize differing elements of salvation history.  That is, St. Irenaeus’ recapitulation theory presents the entirety of Jesus’ work on earth (</w:t>
      </w:r>
      <w:r>
        <w:rPr>
          <w:rFonts w:ascii="Garamond" w:hAnsi="Garamond"/>
          <w:bCs/>
          <w:i/>
          <w:sz w:val="24"/>
          <w:szCs w:val="24"/>
          <w:lang w:val="en-US"/>
        </w:rPr>
        <w:t>viz.,</w:t>
      </w:r>
      <w:r>
        <w:rPr>
          <w:rFonts w:ascii="Garamond" w:hAnsi="Garamond"/>
          <w:bCs/>
          <w:sz w:val="24"/>
          <w:szCs w:val="24"/>
          <w:lang w:val="en-US"/>
        </w:rPr>
        <w:t xml:space="preserve"> his life and ministry </w:t>
      </w:r>
      <w:r w:rsidRPr="00801DCC">
        <w:rPr>
          <w:rFonts w:ascii="Garamond" w:hAnsi="Garamond"/>
          <w:bCs/>
          <w:i/>
          <w:sz w:val="24"/>
          <w:szCs w:val="24"/>
          <w:lang w:val="en-US"/>
        </w:rPr>
        <w:t>as well as</w:t>
      </w:r>
      <w:r>
        <w:rPr>
          <w:rFonts w:ascii="Garamond" w:hAnsi="Garamond"/>
          <w:bCs/>
          <w:sz w:val="24"/>
          <w:szCs w:val="24"/>
          <w:lang w:val="en-US"/>
        </w:rPr>
        <w:t xml:space="preserve"> his death and resurrection) as fundamental to the process of salvation.  St. Anselm, meanwhile, stresses Jesus passion and death in constructing his soteriological model.</w:t>
      </w:r>
    </w:p>
    <w:p w14:paraId="4CD156C2" w14:textId="77777777" w:rsidR="00B23D28" w:rsidRPr="00801DCC" w:rsidRDefault="00B23D28" w:rsidP="00B23D28">
      <w:pPr>
        <w:pStyle w:val="Body"/>
        <w:rPr>
          <w:rFonts w:ascii="Garamond" w:hAnsi="Garamond"/>
          <w:bCs/>
          <w:sz w:val="24"/>
          <w:szCs w:val="24"/>
          <w:lang w:val="en-US"/>
        </w:rPr>
      </w:pPr>
      <w:r>
        <w:rPr>
          <w:rFonts w:ascii="Garamond" w:hAnsi="Garamond"/>
          <w:bCs/>
          <w:sz w:val="24"/>
          <w:szCs w:val="24"/>
          <w:lang w:val="en-US"/>
        </w:rPr>
        <w:tab/>
        <w:t>Considering the historical implications of St. Irenaeus and St. Anselm’s theories, their similarities, and their distinctions, I wish to examine the following questions in my research project.  What are the relative strengths and weaknesses of each thinkers’ theory?  Are these two models of atonement mutually exclusive?  What are the philosophical and theological presuppositions that undergird both?  Is it possible to synthesize these different models into a comprehensive theory of atonement?  If so, what elements of recapitulation and satisfaction are compatible enough to remain and what must be rejected?  By way of evaluating these questions, I hope to produce a piece of scholarship that reflects a deep understanding of St. Irenaeus and St. Anselm’ atonement theories, accurately assesses the strengths and shortcomings of each, and innovatively brings both into dialogue.</w:t>
      </w:r>
    </w:p>
    <w:p w14:paraId="42646C8D" w14:textId="7EEA3F67" w:rsidR="00B23D28" w:rsidRDefault="00B23D28" w:rsidP="003C4392">
      <w:pPr>
        <w:pStyle w:val="Body"/>
        <w:rPr>
          <w:rFonts w:ascii="Garamond" w:eastAsia="Times" w:hAnsi="Garamond" w:cs="Times"/>
          <w:b/>
          <w:bCs/>
          <w:sz w:val="24"/>
          <w:szCs w:val="24"/>
        </w:rPr>
      </w:pPr>
    </w:p>
    <w:p w14:paraId="2471E096" w14:textId="77777777" w:rsidR="00694557" w:rsidRDefault="00694557" w:rsidP="003C4392">
      <w:pPr>
        <w:pStyle w:val="Body"/>
        <w:rPr>
          <w:rFonts w:ascii="Garamond" w:hAnsi="Garamond"/>
          <w:b/>
          <w:bCs/>
          <w:sz w:val="24"/>
          <w:szCs w:val="24"/>
          <w:lang w:val="en-US"/>
        </w:rPr>
      </w:pPr>
    </w:p>
    <w:p w14:paraId="2BC1C51C" w14:textId="6C8D2453" w:rsidR="00197C18" w:rsidRPr="00363C47" w:rsidRDefault="00197C18" w:rsidP="003C4392">
      <w:pPr>
        <w:pStyle w:val="Body"/>
        <w:rPr>
          <w:rFonts w:ascii="Garamond" w:eastAsia="Times" w:hAnsi="Garamond" w:cs="Times"/>
          <w:b/>
          <w:bCs/>
          <w:sz w:val="24"/>
          <w:szCs w:val="24"/>
        </w:rPr>
      </w:pPr>
      <w:r w:rsidRPr="00363C47">
        <w:rPr>
          <w:rFonts w:ascii="Garamond" w:hAnsi="Garamond"/>
          <w:b/>
          <w:bCs/>
          <w:sz w:val="24"/>
          <w:szCs w:val="24"/>
          <w:lang w:val="en-US"/>
        </w:rPr>
        <w:lastRenderedPageBreak/>
        <w:t xml:space="preserve">Briefly describe any relevant </w:t>
      </w:r>
      <w:r>
        <w:rPr>
          <w:rFonts w:ascii="Garamond" w:hAnsi="Garamond"/>
          <w:b/>
          <w:bCs/>
          <w:sz w:val="24"/>
          <w:szCs w:val="24"/>
          <w:lang w:val="en-US"/>
        </w:rPr>
        <w:t xml:space="preserve">study </w:t>
      </w:r>
      <w:r w:rsidRPr="00363C47">
        <w:rPr>
          <w:rFonts w:ascii="Garamond" w:hAnsi="Garamond"/>
          <w:b/>
          <w:bCs/>
          <w:sz w:val="24"/>
          <w:szCs w:val="24"/>
          <w:lang w:val="en-US"/>
        </w:rPr>
        <w:t xml:space="preserve">you have already </w:t>
      </w:r>
      <w:r>
        <w:rPr>
          <w:rFonts w:ascii="Garamond" w:hAnsi="Garamond"/>
          <w:b/>
          <w:bCs/>
          <w:sz w:val="24"/>
          <w:szCs w:val="24"/>
          <w:lang w:val="en-US"/>
        </w:rPr>
        <w:t>completed</w:t>
      </w:r>
      <w:r w:rsidRPr="00363C47">
        <w:rPr>
          <w:rFonts w:ascii="Garamond" w:hAnsi="Garamond"/>
          <w:b/>
          <w:bCs/>
          <w:sz w:val="24"/>
          <w:szCs w:val="24"/>
          <w:lang w:val="en-US"/>
        </w:rPr>
        <w:t xml:space="preserve"> in the area.</w:t>
      </w:r>
    </w:p>
    <w:p w14:paraId="033E54EA" w14:textId="3841E217" w:rsidR="00197C18" w:rsidRDefault="00197C18" w:rsidP="003C4392">
      <w:pPr>
        <w:pStyle w:val="Body"/>
        <w:rPr>
          <w:rFonts w:ascii="Garamond" w:hAnsi="Garamond"/>
          <w:b/>
          <w:bCs/>
          <w:sz w:val="24"/>
          <w:szCs w:val="24"/>
          <w:lang w:val="en-US"/>
        </w:rPr>
      </w:pPr>
    </w:p>
    <w:p w14:paraId="498BB5F2" w14:textId="0FAED26B" w:rsidR="00B23D28" w:rsidRPr="00801DCC" w:rsidRDefault="00B23D28" w:rsidP="00B23D28">
      <w:pPr>
        <w:pStyle w:val="Body"/>
        <w:ind w:firstLine="720"/>
        <w:rPr>
          <w:rFonts w:ascii="Garamond" w:hAnsi="Garamond"/>
          <w:bCs/>
          <w:sz w:val="24"/>
          <w:szCs w:val="24"/>
          <w:lang w:val="en-US"/>
        </w:rPr>
      </w:pPr>
      <w:r>
        <w:rPr>
          <w:rFonts w:ascii="Garamond" w:hAnsi="Garamond"/>
          <w:bCs/>
          <w:sz w:val="24"/>
          <w:szCs w:val="24"/>
          <w:lang w:val="en-US"/>
        </w:rPr>
        <w:t xml:space="preserve">Throughout my tenure in college, my study has prepared me well to complete research in the area presented above.  I have taken several courses on historical theology (one focusing on the Patristic era, two focusing on the Medieval ages).  On account of these courses, I have come into contact with the works of both St. Irenaeus and St. Anselm several times as well as their greater historical context.  The extent of my </w:t>
      </w:r>
      <w:r w:rsidR="00694557">
        <w:rPr>
          <w:rFonts w:ascii="Garamond" w:hAnsi="Garamond"/>
          <w:bCs/>
          <w:sz w:val="24"/>
          <w:szCs w:val="24"/>
          <w:lang w:val="en-US"/>
        </w:rPr>
        <w:t xml:space="preserve">original </w:t>
      </w:r>
      <w:r>
        <w:rPr>
          <w:rFonts w:ascii="Garamond" w:hAnsi="Garamond"/>
          <w:bCs/>
          <w:sz w:val="24"/>
          <w:szCs w:val="24"/>
          <w:lang w:val="en-US"/>
        </w:rPr>
        <w:t xml:space="preserve">scholarship regarding their theories of atonement is limited to a short piece identifying the ways in which St. Thomas Aquinas keeps with and departs from St. Anselm’s formulation of satisfaction theory.  Moreover, while </w:t>
      </w:r>
      <w:r w:rsidR="00694557">
        <w:rPr>
          <w:rFonts w:ascii="Garamond" w:hAnsi="Garamond"/>
          <w:bCs/>
          <w:sz w:val="24"/>
          <w:szCs w:val="24"/>
          <w:lang w:val="en-US"/>
        </w:rPr>
        <w:t xml:space="preserve">beyond </w:t>
      </w:r>
      <w:r>
        <w:rPr>
          <w:rFonts w:ascii="Garamond" w:hAnsi="Garamond"/>
          <w:bCs/>
          <w:sz w:val="24"/>
          <w:szCs w:val="24"/>
          <w:lang w:val="en-US"/>
        </w:rPr>
        <w:t xml:space="preserve">the topic at hand, I have also had the opportunity to conduct individual, grant-funded research under the tutelage of a professor of </w:t>
      </w:r>
      <w:r w:rsidRPr="00801DCC">
        <w:rPr>
          <w:rFonts w:ascii="Garamond" w:hAnsi="Garamond"/>
          <w:bCs/>
          <w:sz w:val="24"/>
          <w:szCs w:val="24"/>
          <w:lang w:val="en-US"/>
        </w:rPr>
        <w:t xml:space="preserve">philosophy—the fruits of which will soon be published in an international undergraduate journal of philosophy.  </w:t>
      </w:r>
    </w:p>
    <w:p w14:paraId="094C3B7D" w14:textId="4CBDE0B8" w:rsidR="00197C18" w:rsidRDefault="00B23D28" w:rsidP="003C4392">
      <w:pPr>
        <w:pStyle w:val="Body"/>
        <w:rPr>
          <w:rFonts w:ascii="Garamond" w:hAnsi="Garamond"/>
          <w:b/>
          <w:bCs/>
          <w:sz w:val="24"/>
          <w:szCs w:val="24"/>
          <w:lang w:val="en-US"/>
        </w:rPr>
      </w:pPr>
      <w:r>
        <w:rPr>
          <w:rFonts w:ascii="Garamond" w:hAnsi="Garamond"/>
          <w:b/>
          <w:bCs/>
          <w:sz w:val="24"/>
          <w:szCs w:val="24"/>
          <w:lang w:val="en-US"/>
        </w:rPr>
        <w:tab/>
      </w:r>
    </w:p>
    <w:p w14:paraId="2B62CF15" w14:textId="77777777" w:rsidR="00B23D28" w:rsidRDefault="00B23D28" w:rsidP="003C4392">
      <w:pPr>
        <w:pStyle w:val="Body"/>
        <w:rPr>
          <w:rFonts w:ascii="Garamond" w:hAnsi="Garamond"/>
          <w:b/>
          <w:bCs/>
          <w:sz w:val="24"/>
          <w:szCs w:val="24"/>
          <w:lang w:val="en-US"/>
        </w:rPr>
      </w:pPr>
    </w:p>
    <w:p w14:paraId="66114689" w14:textId="54DB85C7" w:rsidR="00197C18" w:rsidRPr="00363C47" w:rsidRDefault="00197C18" w:rsidP="003C4392">
      <w:pPr>
        <w:pStyle w:val="Body"/>
        <w:rPr>
          <w:rFonts w:ascii="Garamond" w:eastAsia="Times" w:hAnsi="Garamond" w:cs="Times"/>
          <w:b/>
          <w:bCs/>
          <w:sz w:val="24"/>
          <w:szCs w:val="24"/>
        </w:rPr>
      </w:pPr>
      <w:r w:rsidRPr="00363C47">
        <w:rPr>
          <w:rFonts w:ascii="Garamond" w:hAnsi="Garamond"/>
          <w:b/>
          <w:bCs/>
          <w:sz w:val="24"/>
          <w:szCs w:val="24"/>
          <w:lang w:val="en-US"/>
        </w:rPr>
        <w:t xml:space="preserve">List any books or other </w:t>
      </w:r>
      <w:r w:rsidR="009320EF">
        <w:rPr>
          <w:rFonts w:ascii="Garamond" w:hAnsi="Garamond"/>
          <w:b/>
          <w:bCs/>
          <w:sz w:val="24"/>
          <w:szCs w:val="24"/>
          <w:lang w:val="en-US"/>
        </w:rPr>
        <w:t>re</w:t>
      </w:r>
      <w:r w:rsidRPr="00363C47">
        <w:rPr>
          <w:rFonts w:ascii="Garamond" w:hAnsi="Garamond"/>
          <w:b/>
          <w:bCs/>
          <w:sz w:val="24"/>
          <w:szCs w:val="24"/>
          <w:lang w:val="en-US"/>
        </w:rPr>
        <w:t>sources which may be relevant</w:t>
      </w:r>
      <w:r>
        <w:rPr>
          <w:rFonts w:ascii="Garamond" w:hAnsi="Garamond"/>
          <w:b/>
          <w:bCs/>
          <w:sz w:val="24"/>
          <w:szCs w:val="24"/>
          <w:lang w:val="en-US"/>
        </w:rPr>
        <w:t xml:space="preserve"> and/or necessary</w:t>
      </w:r>
      <w:r w:rsidRPr="00363C47">
        <w:rPr>
          <w:rFonts w:ascii="Garamond" w:hAnsi="Garamond"/>
          <w:b/>
          <w:bCs/>
          <w:sz w:val="24"/>
          <w:szCs w:val="24"/>
          <w:lang w:val="en-US"/>
        </w:rPr>
        <w:t xml:space="preserve"> to your </w:t>
      </w:r>
      <w:r w:rsidR="009320EF">
        <w:rPr>
          <w:rFonts w:ascii="Garamond" w:hAnsi="Garamond"/>
          <w:b/>
          <w:bCs/>
          <w:sz w:val="24"/>
          <w:szCs w:val="24"/>
          <w:lang w:val="en-US"/>
        </w:rPr>
        <w:t>proposed research</w:t>
      </w:r>
      <w:r w:rsidRPr="00363C47">
        <w:rPr>
          <w:rFonts w:ascii="Garamond" w:hAnsi="Garamond"/>
          <w:b/>
          <w:bCs/>
          <w:sz w:val="24"/>
          <w:szCs w:val="24"/>
          <w:lang w:val="en-US"/>
        </w:rPr>
        <w:t xml:space="preserve">. </w:t>
      </w:r>
      <w:r>
        <w:rPr>
          <w:rFonts w:ascii="Garamond" w:hAnsi="Garamond"/>
          <w:b/>
          <w:bCs/>
          <w:sz w:val="24"/>
          <w:szCs w:val="24"/>
          <w:lang w:val="en-US"/>
        </w:rPr>
        <w:t xml:space="preserve"> </w:t>
      </w:r>
      <w:r w:rsidRPr="00363C47">
        <w:rPr>
          <w:rFonts w:ascii="Garamond" w:hAnsi="Garamond"/>
          <w:b/>
          <w:bCs/>
          <w:sz w:val="24"/>
          <w:szCs w:val="24"/>
          <w:lang w:val="en-US"/>
        </w:rPr>
        <w:t>Please limit your answer to no more than 10 entries.</w:t>
      </w:r>
    </w:p>
    <w:p w14:paraId="4C92D529" w14:textId="0E69C644" w:rsidR="00197C18" w:rsidRDefault="00197C18" w:rsidP="003C4392">
      <w:pPr>
        <w:pStyle w:val="Body"/>
        <w:rPr>
          <w:rFonts w:ascii="Garamond" w:hAnsi="Garamond"/>
          <w:b/>
          <w:bCs/>
          <w:sz w:val="24"/>
          <w:szCs w:val="24"/>
          <w:lang w:val="en-US"/>
        </w:rPr>
      </w:pPr>
    </w:p>
    <w:p w14:paraId="7A049D85" w14:textId="77777777" w:rsidR="00694557" w:rsidRDefault="00B23D28" w:rsidP="00B23D28">
      <w:pPr>
        <w:pStyle w:val="Body"/>
        <w:rPr>
          <w:rFonts w:ascii="Garamond" w:eastAsia="Times" w:hAnsi="Garamond" w:cs="Times"/>
          <w:bCs/>
          <w:sz w:val="24"/>
          <w:szCs w:val="24"/>
        </w:rPr>
      </w:pPr>
      <w:r>
        <w:rPr>
          <w:rFonts w:ascii="Garamond" w:eastAsia="Times" w:hAnsi="Garamond" w:cs="Times"/>
          <w:bCs/>
          <w:sz w:val="24"/>
          <w:szCs w:val="24"/>
        </w:rPr>
        <w:t xml:space="preserve">Anselm. </w:t>
      </w:r>
      <w:r>
        <w:rPr>
          <w:rFonts w:ascii="Garamond" w:eastAsia="Times" w:hAnsi="Garamond" w:cs="Times"/>
          <w:bCs/>
          <w:i/>
          <w:sz w:val="24"/>
          <w:szCs w:val="24"/>
        </w:rPr>
        <w:t xml:space="preserve">Cur Deus Homo. </w:t>
      </w:r>
      <w:r>
        <w:rPr>
          <w:rFonts w:ascii="Garamond" w:eastAsia="Times" w:hAnsi="Garamond" w:cs="Times"/>
          <w:bCs/>
          <w:sz w:val="24"/>
          <w:szCs w:val="24"/>
        </w:rPr>
        <w:t xml:space="preserve">Translated by </w:t>
      </w:r>
      <w:r w:rsidR="00694557">
        <w:rPr>
          <w:rFonts w:ascii="Garamond" w:eastAsia="Times" w:hAnsi="Garamond" w:cs="Times"/>
          <w:bCs/>
          <w:sz w:val="24"/>
          <w:szCs w:val="24"/>
        </w:rPr>
        <w:t xml:space="preserve">S. N. Deane. La Salle, Illinois: Open Court </w:t>
      </w:r>
    </w:p>
    <w:p w14:paraId="1FFD6FE2" w14:textId="1E1BF63F" w:rsidR="00B23D28" w:rsidRPr="00801DCC" w:rsidRDefault="00694557" w:rsidP="00694557">
      <w:pPr>
        <w:pStyle w:val="Body"/>
        <w:ind w:firstLine="720"/>
        <w:rPr>
          <w:rFonts w:ascii="Garamond" w:eastAsia="Times" w:hAnsi="Garamond" w:cs="Times"/>
          <w:bCs/>
          <w:sz w:val="24"/>
          <w:szCs w:val="24"/>
        </w:rPr>
      </w:pPr>
      <w:r>
        <w:rPr>
          <w:rFonts w:ascii="Garamond" w:eastAsia="Times" w:hAnsi="Garamond" w:cs="Times"/>
          <w:bCs/>
          <w:sz w:val="24"/>
          <w:szCs w:val="24"/>
        </w:rPr>
        <w:t>Publishing Company, 1962.</w:t>
      </w:r>
    </w:p>
    <w:p w14:paraId="58B9EB2B" w14:textId="77777777" w:rsidR="00B23D28" w:rsidRPr="00801DCC" w:rsidRDefault="00B23D28" w:rsidP="00B23D28">
      <w:pPr>
        <w:pStyle w:val="Body"/>
        <w:rPr>
          <w:rFonts w:ascii="Garamond" w:hAnsi="Garamond"/>
          <w:b/>
          <w:bCs/>
          <w:sz w:val="24"/>
          <w:szCs w:val="24"/>
          <w:lang w:val="en-US"/>
        </w:rPr>
      </w:pPr>
    </w:p>
    <w:p w14:paraId="7C1C2AB4" w14:textId="77777777" w:rsidR="00B23D28" w:rsidRDefault="00B23D28" w:rsidP="00B23D28">
      <w:pPr>
        <w:rPr>
          <w:rFonts w:ascii="Garamond" w:hAnsi="Garamond"/>
          <w:i/>
        </w:rPr>
      </w:pPr>
      <w:r w:rsidRPr="00801DCC">
        <w:rPr>
          <w:rFonts w:ascii="Garamond" w:hAnsi="Garamond"/>
        </w:rPr>
        <w:t xml:space="preserve">Cone, Steven D. “Non-Penal Atonement and Anselm’s Satisfaction Theory.” </w:t>
      </w:r>
      <w:r w:rsidRPr="00801DCC">
        <w:rPr>
          <w:rFonts w:ascii="Garamond" w:hAnsi="Garamond"/>
          <w:i/>
        </w:rPr>
        <w:t>Stone-</w:t>
      </w:r>
    </w:p>
    <w:p w14:paraId="142AAF75" w14:textId="5F9F36CC" w:rsidR="00B23D28" w:rsidRPr="00B23D28" w:rsidRDefault="00B23D28" w:rsidP="00B23D28">
      <w:pPr>
        <w:ind w:left="720"/>
        <w:rPr>
          <w:rFonts w:ascii="Garamond" w:hAnsi="Garamond"/>
          <w:i/>
        </w:rPr>
      </w:pPr>
      <w:r w:rsidRPr="00801DCC">
        <w:rPr>
          <w:rFonts w:ascii="Garamond" w:hAnsi="Garamond"/>
          <w:i/>
        </w:rPr>
        <w:t xml:space="preserve">Campbell Journal </w:t>
      </w:r>
      <w:r w:rsidRPr="00801DCC">
        <w:rPr>
          <w:rFonts w:ascii="Garamond" w:hAnsi="Garamond"/>
        </w:rPr>
        <w:t>18, no. 1 (Spring 2015): 27-44. http://search.ebscohost.com/login/aspx?direct=true&amp;db=rfh&amp;AN=ATLAiB8W160516001961&amp;site=ehost-live.</w:t>
      </w:r>
    </w:p>
    <w:p w14:paraId="4499E469" w14:textId="77777777" w:rsidR="00B23D28" w:rsidRPr="00801DCC" w:rsidRDefault="00B23D28" w:rsidP="00B23D28">
      <w:pPr>
        <w:ind w:left="720"/>
        <w:rPr>
          <w:rFonts w:ascii="Garamond" w:hAnsi="Garamond"/>
        </w:rPr>
      </w:pPr>
    </w:p>
    <w:p w14:paraId="1C6A561F" w14:textId="77777777" w:rsidR="00B23D28" w:rsidRDefault="00B23D28" w:rsidP="00B23D28">
      <w:pPr>
        <w:rPr>
          <w:rFonts w:ascii="Garamond" w:hAnsi="Garamond"/>
          <w:color w:val="333333"/>
          <w:shd w:val="clear" w:color="auto" w:fill="FFFFFF" w:themeFill="background1"/>
        </w:rPr>
      </w:pPr>
      <w:r w:rsidRPr="00801DCC">
        <w:rPr>
          <w:rFonts w:ascii="Garamond" w:hAnsi="Garamond"/>
          <w:color w:val="333333"/>
          <w:shd w:val="clear" w:color="auto" w:fill="FFFFFF" w:themeFill="background1"/>
        </w:rPr>
        <w:t>Hannah, John D. “Anselm on the Doctrine of Atonement.” </w:t>
      </w:r>
      <w:r w:rsidRPr="00801DCC">
        <w:rPr>
          <w:rFonts w:ascii="Garamond" w:hAnsi="Garamond"/>
          <w:i/>
          <w:iCs/>
          <w:color w:val="333333"/>
          <w:bdr w:val="none" w:sz="0" w:space="0" w:color="auto" w:frame="1"/>
        </w:rPr>
        <w:t>Bibliotheca Sacra</w:t>
      </w:r>
      <w:r w:rsidRPr="00801DCC">
        <w:rPr>
          <w:rFonts w:ascii="Garamond" w:hAnsi="Garamond"/>
          <w:color w:val="333333"/>
          <w:shd w:val="clear" w:color="auto" w:fill="FFFFFF" w:themeFill="background1"/>
        </w:rPr>
        <w:t xml:space="preserve"> 135, no. 540 </w:t>
      </w:r>
    </w:p>
    <w:p w14:paraId="4756ABAD" w14:textId="3676B203" w:rsidR="00B23D28" w:rsidRPr="00801DCC" w:rsidRDefault="00B23D28" w:rsidP="00B23D28">
      <w:pPr>
        <w:ind w:left="720"/>
        <w:rPr>
          <w:rFonts w:ascii="Garamond" w:hAnsi="Garamond"/>
          <w:color w:val="333333"/>
          <w:shd w:val="clear" w:color="auto" w:fill="FFFFFF" w:themeFill="background1"/>
        </w:rPr>
      </w:pPr>
      <w:r w:rsidRPr="00801DCC">
        <w:rPr>
          <w:rFonts w:ascii="Garamond" w:hAnsi="Garamond"/>
          <w:color w:val="333333"/>
          <w:shd w:val="clear" w:color="auto" w:fill="FFFFFF" w:themeFill="background1"/>
        </w:rPr>
        <w:t>(October 1978): 333–44. http://search.ebscohost.com/login.aspx?direct=true&amp;db=rfh&amp;AN=ATLA0000768339&amp;site=ehost-live.</w:t>
      </w:r>
    </w:p>
    <w:p w14:paraId="6304F87E" w14:textId="77777777" w:rsidR="00B23D28" w:rsidRDefault="00B23D28" w:rsidP="00B23D28">
      <w:pPr>
        <w:rPr>
          <w:rFonts w:ascii="Garamond" w:hAnsi="Garamond"/>
        </w:rPr>
      </w:pPr>
    </w:p>
    <w:p w14:paraId="289DBB51" w14:textId="77777777" w:rsidR="00B23D28" w:rsidRDefault="00B23D28" w:rsidP="00B23D28">
      <w:pPr>
        <w:rPr>
          <w:rFonts w:ascii="Garamond" w:hAnsi="Garamond"/>
          <w:color w:val="333333"/>
          <w:shd w:val="clear" w:color="auto" w:fill="FFFFFF" w:themeFill="background1"/>
        </w:rPr>
      </w:pPr>
      <w:proofErr w:type="spellStart"/>
      <w:r w:rsidRPr="00801DCC">
        <w:rPr>
          <w:rFonts w:ascii="Garamond" w:hAnsi="Garamond"/>
          <w:color w:val="333333"/>
          <w:shd w:val="clear" w:color="auto" w:fill="FFFFFF" w:themeFill="background1"/>
        </w:rPr>
        <w:t>Hochban</w:t>
      </w:r>
      <w:proofErr w:type="spellEnd"/>
      <w:r w:rsidRPr="00801DCC">
        <w:rPr>
          <w:rFonts w:ascii="Garamond" w:hAnsi="Garamond"/>
          <w:color w:val="333333"/>
          <w:shd w:val="clear" w:color="auto" w:fill="FFFFFF" w:themeFill="background1"/>
        </w:rPr>
        <w:t>, John I. “St. Irenaeus on the Atonement.” </w:t>
      </w:r>
      <w:r w:rsidRPr="00801DCC">
        <w:rPr>
          <w:rFonts w:ascii="Garamond" w:hAnsi="Garamond"/>
          <w:i/>
          <w:iCs/>
          <w:color w:val="333333"/>
          <w:bdr w:val="none" w:sz="0" w:space="0" w:color="auto" w:frame="1"/>
        </w:rPr>
        <w:t>Theological Studies</w:t>
      </w:r>
      <w:r w:rsidRPr="00801DCC">
        <w:rPr>
          <w:rFonts w:ascii="Garamond" w:hAnsi="Garamond"/>
          <w:color w:val="333333"/>
          <w:shd w:val="clear" w:color="auto" w:fill="FFFFFF" w:themeFill="background1"/>
        </w:rPr>
        <w:t xml:space="preserve"> 7, no. 4 (December </w:t>
      </w:r>
    </w:p>
    <w:p w14:paraId="6499DAEE" w14:textId="6EA3D28B" w:rsidR="00B23D28" w:rsidRPr="00B23D28" w:rsidRDefault="00B23D28" w:rsidP="00B23D28">
      <w:pPr>
        <w:ind w:left="720"/>
        <w:rPr>
          <w:rFonts w:ascii="Garamond" w:hAnsi="Garamond"/>
          <w:color w:val="333333"/>
          <w:shd w:val="clear" w:color="auto" w:fill="FFFFFF" w:themeFill="background1"/>
        </w:rPr>
      </w:pPr>
      <w:r w:rsidRPr="00801DCC">
        <w:rPr>
          <w:rFonts w:ascii="Garamond" w:hAnsi="Garamond"/>
          <w:color w:val="333333"/>
          <w:shd w:val="clear" w:color="auto" w:fill="FFFFFF" w:themeFill="background1"/>
        </w:rPr>
        <w:t>1946): 525–57. http://search.ebscohost.com/login.aspx?direct=true&amp;db=rfh&amp;AN=ATLA0001378303&amp;site=ehost-live.</w:t>
      </w:r>
    </w:p>
    <w:p w14:paraId="7D70CD00" w14:textId="77777777" w:rsidR="00B23D28" w:rsidRPr="00801DCC" w:rsidRDefault="00B23D28" w:rsidP="00B23D28">
      <w:pPr>
        <w:ind w:left="720"/>
        <w:rPr>
          <w:rFonts w:ascii="Garamond" w:hAnsi="Garamond"/>
        </w:rPr>
      </w:pPr>
    </w:p>
    <w:p w14:paraId="1179AFF4" w14:textId="77777777" w:rsidR="00B23D28" w:rsidRDefault="00B23D28" w:rsidP="00B23D28">
      <w:pPr>
        <w:rPr>
          <w:rFonts w:ascii="Garamond" w:hAnsi="Garamond"/>
          <w:color w:val="333333"/>
          <w:shd w:val="clear" w:color="auto" w:fill="FFFFFF" w:themeFill="background1"/>
        </w:rPr>
      </w:pPr>
      <w:r w:rsidRPr="00801DCC">
        <w:rPr>
          <w:rFonts w:ascii="Garamond" w:hAnsi="Garamond"/>
          <w:color w:val="333333"/>
          <w:shd w:val="clear" w:color="auto" w:fill="FFFFFF" w:themeFill="background1"/>
        </w:rPr>
        <w:t xml:space="preserve">Holmes, Stephen R. “The Upholding of Beauty: A Reading of Anselm’s Cur Deus </w:t>
      </w:r>
    </w:p>
    <w:p w14:paraId="13B4DD48" w14:textId="045FCC55" w:rsidR="00B23D28" w:rsidRPr="00B23D28" w:rsidRDefault="00B23D28" w:rsidP="00B23D28">
      <w:pPr>
        <w:ind w:left="720"/>
        <w:rPr>
          <w:rFonts w:ascii="Garamond" w:hAnsi="Garamond"/>
          <w:i/>
          <w:iCs/>
          <w:color w:val="333333"/>
          <w:bdr w:val="none" w:sz="0" w:space="0" w:color="auto" w:frame="1"/>
        </w:rPr>
      </w:pPr>
      <w:r w:rsidRPr="00801DCC">
        <w:rPr>
          <w:rFonts w:ascii="Garamond" w:hAnsi="Garamond"/>
          <w:color w:val="333333"/>
          <w:shd w:val="clear" w:color="auto" w:fill="FFFFFF" w:themeFill="background1"/>
        </w:rPr>
        <w:t>Homo.” </w:t>
      </w:r>
      <w:r w:rsidRPr="00801DCC">
        <w:rPr>
          <w:rFonts w:ascii="Garamond" w:hAnsi="Garamond"/>
          <w:i/>
          <w:iCs/>
          <w:color w:val="333333"/>
          <w:bdr w:val="none" w:sz="0" w:space="0" w:color="auto" w:frame="1"/>
        </w:rPr>
        <w:t>Scottish Journal of Theology</w:t>
      </w:r>
      <w:r w:rsidRPr="00801DCC">
        <w:rPr>
          <w:rFonts w:ascii="Garamond" w:hAnsi="Garamond"/>
          <w:color w:val="333333"/>
          <w:shd w:val="clear" w:color="auto" w:fill="FFFFFF" w:themeFill="background1"/>
        </w:rPr>
        <w:t> 54, no. 2 (2001): 189–203. http://search.ebscohost.com/login.aspx?direct=true&amp;db=rfh&amp;AN=ATLA0001279206&amp;site=ehost-live.</w:t>
      </w:r>
    </w:p>
    <w:p w14:paraId="1C99C07E" w14:textId="77777777" w:rsidR="00B23D28" w:rsidRDefault="00B23D28" w:rsidP="00B23D28">
      <w:pPr>
        <w:ind w:left="720"/>
        <w:rPr>
          <w:rFonts w:ascii="Garamond" w:hAnsi="Garamond"/>
          <w:color w:val="333333"/>
          <w:shd w:val="clear" w:color="auto" w:fill="FFFFFF" w:themeFill="background1"/>
        </w:rPr>
      </w:pPr>
    </w:p>
    <w:p w14:paraId="26E8C1FD" w14:textId="77777777" w:rsidR="00B23D28" w:rsidRDefault="00B23D28" w:rsidP="00B23D28">
      <w:pPr>
        <w:rPr>
          <w:rFonts w:ascii="Garamond" w:hAnsi="Garamond"/>
          <w:color w:val="333333"/>
          <w:shd w:val="clear" w:color="auto" w:fill="FFFFFF" w:themeFill="background1"/>
        </w:rPr>
      </w:pPr>
      <w:r>
        <w:rPr>
          <w:rFonts w:ascii="Garamond" w:hAnsi="Garamond"/>
          <w:color w:val="333333"/>
          <w:shd w:val="clear" w:color="auto" w:fill="FFFFFF" w:themeFill="background1"/>
        </w:rPr>
        <w:t xml:space="preserve">Irenaeus. </w:t>
      </w:r>
      <w:r>
        <w:rPr>
          <w:rFonts w:ascii="Garamond" w:hAnsi="Garamond"/>
          <w:i/>
          <w:color w:val="333333"/>
          <w:shd w:val="clear" w:color="auto" w:fill="FFFFFF" w:themeFill="background1"/>
        </w:rPr>
        <w:t xml:space="preserve">Against Heresies. </w:t>
      </w:r>
      <w:r>
        <w:rPr>
          <w:rFonts w:ascii="Garamond" w:hAnsi="Garamond"/>
          <w:color w:val="333333"/>
          <w:shd w:val="clear" w:color="auto" w:fill="FFFFFF" w:themeFill="background1"/>
        </w:rPr>
        <w:t xml:space="preserve">Translated by John Keble.  Oxford: James Parker and Co., </w:t>
      </w:r>
    </w:p>
    <w:p w14:paraId="517A5121" w14:textId="4A66DB0E" w:rsidR="00B23D28" w:rsidRPr="00801DCC" w:rsidRDefault="00B23D28" w:rsidP="00B23D28">
      <w:pPr>
        <w:ind w:firstLine="720"/>
        <w:rPr>
          <w:rFonts w:ascii="Garamond" w:hAnsi="Garamond"/>
          <w:color w:val="333333"/>
          <w:shd w:val="clear" w:color="auto" w:fill="FFFFFF" w:themeFill="background1"/>
        </w:rPr>
      </w:pPr>
      <w:r>
        <w:rPr>
          <w:rFonts w:ascii="Garamond" w:hAnsi="Garamond"/>
          <w:color w:val="333333"/>
          <w:shd w:val="clear" w:color="auto" w:fill="FFFFFF" w:themeFill="background1"/>
        </w:rPr>
        <w:t>1872.</w:t>
      </w:r>
    </w:p>
    <w:p w14:paraId="5C873109" w14:textId="77777777" w:rsidR="00B23D28" w:rsidRDefault="00B23D28" w:rsidP="00B23D28">
      <w:pPr>
        <w:ind w:left="720"/>
        <w:rPr>
          <w:rFonts w:ascii="Garamond" w:hAnsi="Garamond"/>
        </w:rPr>
      </w:pPr>
    </w:p>
    <w:p w14:paraId="42FF1B68" w14:textId="77777777" w:rsidR="00B23D28" w:rsidRDefault="00B23D28" w:rsidP="00B23D28">
      <w:pPr>
        <w:rPr>
          <w:rFonts w:ascii="Garamond" w:hAnsi="Garamond"/>
          <w:color w:val="333333"/>
          <w:shd w:val="clear" w:color="auto" w:fill="FFFFFF" w:themeFill="background1"/>
        </w:rPr>
      </w:pPr>
      <w:r w:rsidRPr="00801DCC">
        <w:rPr>
          <w:rFonts w:ascii="Garamond" w:hAnsi="Garamond"/>
          <w:color w:val="333333"/>
          <w:shd w:val="clear" w:color="auto" w:fill="FFFFFF" w:themeFill="background1"/>
        </w:rPr>
        <w:t xml:space="preserve">Kim, Dai Sil. “Irenaeus of Lyons and Teilhard de Chardin: A Comparative Study of </w:t>
      </w:r>
    </w:p>
    <w:p w14:paraId="0E85AAB4" w14:textId="4FCB29F0" w:rsidR="00B23D28" w:rsidRPr="00801DCC" w:rsidRDefault="00B23D28" w:rsidP="00B23D28">
      <w:pPr>
        <w:ind w:left="720"/>
        <w:rPr>
          <w:rFonts w:ascii="Garamond" w:hAnsi="Garamond"/>
          <w:color w:val="333333"/>
          <w:shd w:val="clear" w:color="auto" w:fill="FFFFFF" w:themeFill="background1"/>
        </w:rPr>
      </w:pPr>
      <w:r w:rsidRPr="00801DCC">
        <w:rPr>
          <w:rFonts w:ascii="Garamond" w:hAnsi="Garamond"/>
          <w:color w:val="333333"/>
          <w:shd w:val="clear" w:color="auto" w:fill="FFFFFF" w:themeFill="background1"/>
        </w:rPr>
        <w:t>‘Recapitulation’ and ‘Omega.’” </w:t>
      </w:r>
      <w:r w:rsidRPr="00801DCC">
        <w:rPr>
          <w:rFonts w:ascii="Garamond" w:hAnsi="Garamond"/>
          <w:i/>
          <w:iCs/>
          <w:color w:val="333333"/>
          <w:bdr w:val="none" w:sz="0" w:space="0" w:color="auto" w:frame="1"/>
        </w:rPr>
        <w:t>Journal of Ecumenical Studies</w:t>
      </w:r>
      <w:r w:rsidRPr="00801DCC">
        <w:rPr>
          <w:rFonts w:ascii="Garamond" w:hAnsi="Garamond"/>
          <w:color w:val="333333"/>
          <w:shd w:val="clear" w:color="auto" w:fill="FFFFFF" w:themeFill="background1"/>
        </w:rPr>
        <w:t> 13, no. 1 (</w:t>
      </w:r>
      <w:proofErr w:type="spellStart"/>
      <w:r w:rsidRPr="00801DCC">
        <w:rPr>
          <w:rFonts w:ascii="Garamond" w:hAnsi="Garamond"/>
          <w:color w:val="333333"/>
          <w:shd w:val="clear" w:color="auto" w:fill="FFFFFF" w:themeFill="background1"/>
        </w:rPr>
        <w:t>Wint</w:t>
      </w:r>
      <w:proofErr w:type="spellEnd"/>
      <w:r w:rsidRPr="00801DCC">
        <w:rPr>
          <w:rFonts w:ascii="Garamond" w:hAnsi="Garamond"/>
          <w:color w:val="333333"/>
          <w:shd w:val="clear" w:color="auto" w:fill="FFFFFF" w:themeFill="background1"/>
        </w:rPr>
        <w:t xml:space="preserve"> 1976): 69–93. http://search.ebscohost.com/login.aspx?direct=true&amp;db=rfh&amp;AN=ATLA0000755514&amp;site=ehost-live.</w:t>
      </w:r>
    </w:p>
    <w:p w14:paraId="45BF8166" w14:textId="77777777" w:rsidR="00B23D28" w:rsidRDefault="00B23D28" w:rsidP="00B23D28">
      <w:pPr>
        <w:rPr>
          <w:rFonts w:ascii="Garamond" w:hAnsi="Garamond"/>
        </w:rPr>
      </w:pPr>
    </w:p>
    <w:p w14:paraId="510DB5F2" w14:textId="77777777" w:rsidR="00B23D28" w:rsidRDefault="00B23D28" w:rsidP="00B23D28">
      <w:pPr>
        <w:rPr>
          <w:rFonts w:ascii="Garamond" w:hAnsi="Garamond"/>
          <w:color w:val="333333"/>
          <w:shd w:val="clear" w:color="auto" w:fill="FFFFFF" w:themeFill="background1"/>
        </w:rPr>
      </w:pPr>
      <w:proofErr w:type="spellStart"/>
      <w:r w:rsidRPr="00801DCC">
        <w:rPr>
          <w:rFonts w:ascii="Garamond" w:hAnsi="Garamond"/>
          <w:color w:val="333333"/>
          <w:shd w:val="clear" w:color="auto" w:fill="FFFFFF" w:themeFill="background1"/>
        </w:rPr>
        <w:t>Litwa</w:t>
      </w:r>
      <w:proofErr w:type="spellEnd"/>
      <w:r w:rsidRPr="00801DCC">
        <w:rPr>
          <w:rFonts w:ascii="Garamond" w:hAnsi="Garamond"/>
          <w:color w:val="333333"/>
          <w:shd w:val="clear" w:color="auto" w:fill="FFFFFF" w:themeFill="background1"/>
        </w:rPr>
        <w:t xml:space="preserve">, Matthew David. 2014. “The God ‘Human’ and Human Gods: Models of </w:t>
      </w:r>
    </w:p>
    <w:p w14:paraId="08E9C4E4" w14:textId="1609F7B5" w:rsidR="00B23D28" w:rsidRPr="00801DCC" w:rsidRDefault="00B23D28" w:rsidP="00B23D28">
      <w:pPr>
        <w:ind w:left="720"/>
        <w:rPr>
          <w:rFonts w:ascii="Garamond" w:hAnsi="Garamond"/>
          <w:color w:val="333333"/>
          <w:shd w:val="clear" w:color="auto" w:fill="FFFFFF" w:themeFill="background1"/>
        </w:rPr>
      </w:pPr>
      <w:r w:rsidRPr="00801DCC">
        <w:rPr>
          <w:rFonts w:ascii="Garamond" w:hAnsi="Garamond"/>
          <w:color w:val="333333"/>
          <w:shd w:val="clear" w:color="auto" w:fill="FFFFFF" w:themeFill="background1"/>
        </w:rPr>
        <w:lastRenderedPageBreak/>
        <w:t>Deification in</w:t>
      </w:r>
      <w:r>
        <w:rPr>
          <w:rFonts w:ascii="Garamond" w:hAnsi="Garamond"/>
          <w:color w:val="333333"/>
          <w:shd w:val="clear" w:color="auto" w:fill="FFFFFF" w:themeFill="background1"/>
        </w:rPr>
        <w:t xml:space="preserve"> </w:t>
      </w:r>
      <w:r w:rsidRPr="00801DCC">
        <w:rPr>
          <w:rFonts w:ascii="Garamond" w:hAnsi="Garamond"/>
          <w:color w:val="333333"/>
          <w:shd w:val="clear" w:color="auto" w:fill="FFFFFF" w:themeFill="background1"/>
        </w:rPr>
        <w:t xml:space="preserve">Irenaeus and the </w:t>
      </w:r>
      <w:proofErr w:type="spellStart"/>
      <w:r w:rsidRPr="00801DCC">
        <w:rPr>
          <w:rFonts w:ascii="Garamond" w:hAnsi="Garamond"/>
          <w:color w:val="333333"/>
          <w:shd w:val="clear" w:color="auto" w:fill="FFFFFF" w:themeFill="background1"/>
        </w:rPr>
        <w:t>Apocryphon</w:t>
      </w:r>
      <w:proofErr w:type="spellEnd"/>
      <w:r w:rsidRPr="00801DCC">
        <w:rPr>
          <w:rFonts w:ascii="Garamond" w:hAnsi="Garamond"/>
          <w:color w:val="333333"/>
          <w:shd w:val="clear" w:color="auto" w:fill="FFFFFF" w:themeFill="background1"/>
        </w:rPr>
        <w:t xml:space="preserve"> of John.” </w:t>
      </w:r>
      <w:proofErr w:type="spellStart"/>
      <w:r w:rsidRPr="00801DCC">
        <w:rPr>
          <w:rFonts w:ascii="Garamond" w:hAnsi="Garamond"/>
          <w:i/>
          <w:iCs/>
          <w:color w:val="333333"/>
          <w:bdr w:val="none" w:sz="0" w:space="0" w:color="auto" w:frame="1"/>
        </w:rPr>
        <w:t>Zeitschrift</w:t>
      </w:r>
      <w:proofErr w:type="spellEnd"/>
      <w:r w:rsidRPr="00801DCC">
        <w:rPr>
          <w:rFonts w:ascii="Garamond" w:hAnsi="Garamond"/>
          <w:i/>
          <w:iCs/>
          <w:color w:val="333333"/>
          <w:bdr w:val="none" w:sz="0" w:space="0" w:color="auto" w:frame="1"/>
        </w:rPr>
        <w:t xml:space="preserve"> </w:t>
      </w:r>
      <w:proofErr w:type="spellStart"/>
      <w:r w:rsidRPr="00801DCC">
        <w:rPr>
          <w:rFonts w:ascii="Garamond" w:hAnsi="Garamond"/>
          <w:i/>
          <w:iCs/>
          <w:color w:val="333333"/>
          <w:bdr w:val="none" w:sz="0" w:space="0" w:color="auto" w:frame="1"/>
        </w:rPr>
        <w:t>Fu</w:t>
      </w:r>
      <w:r w:rsidRPr="00801DCC">
        <w:rPr>
          <w:i/>
          <w:iCs/>
          <w:color w:val="333333"/>
          <w:bdr w:val="none" w:sz="0" w:space="0" w:color="auto" w:frame="1"/>
        </w:rPr>
        <w:t>̈</w:t>
      </w:r>
      <w:r w:rsidRPr="00801DCC">
        <w:rPr>
          <w:rFonts w:ascii="Garamond" w:hAnsi="Garamond"/>
          <w:i/>
          <w:iCs/>
          <w:color w:val="333333"/>
          <w:bdr w:val="none" w:sz="0" w:space="0" w:color="auto" w:frame="1"/>
        </w:rPr>
        <w:t>r</w:t>
      </w:r>
      <w:proofErr w:type="spellEnd"/>
      <w:r w:rsidRPr="00801DCC">
        <w:rPr>
          <w:rFonts w:ascii="Garamond" w:hAnsi="Garamond"/>
          <w:i/>
          <w:iCs/>
          <w:color w:val="333333"/>
          <w:bdr w:val="none" w:sz="0" w:space="0" w:color="auto" w:frame="1"/>
        </w:rPr>
        <w:t xml:space="preserve"> </w:t>
      </w:r>
      <w:proofErr w:type="spellStart"/>
      <w:r w:rsidRPr="00801DCC">
        <w:rPr>
          <w:rFonts w:ascii="Garamond" w:hAnsi="Garamond"/>
          <w:i/>
          <w:iCs/>
          <w:color w:val="333333"/>
          <w:bdr w:val="none" w:sz="0" w:space="0" w:color="auto" w:frame="1"/>
        </w:rPr>
        <w:t>Antikes</w:t>
      </w:r>
      <w:proofErr w:type="spellEnd"/>
      <w:r w:rsidRPr="00801DCC">
        <w:rPr>
          <w:rFonts w:ascii="Garamond" w:hAnsi="Garamond"/>
          <w:i/>
          <w:iCs/>
          <w:color w:val="333333"/>
          <w:bdr w:val="none" w:sz="0" w:space="0" w:color="auto" w:frame="1"/>
        </w:rPr>
        <w:t xml:space="preserve"> </w:t>
      </w:r>
      <w:proofErr w:type="spellStart"/>
      <w:r w:rsidRPr="00801DCC">
        <w:rPr>
          <w:rFonts w:ascii="Garamond" w:hAnsi="Garamond"/>
          <w:i/>
          <w:iCs/>
          <w:color w:val="333333"/>
          <w:bdr w:val="none" w:sz="0" w:space="0" w:color="auto" w:frame="1"/>
        </w:rPr>
        <w:t>Christentum</w:t>
      </w:r>
      <w:proofErr w:type="spellEnd"/>
      <w:r w:rsidRPr="00801DCC">
        <w:rPr>
          <w:rFonts w:ascii="Garamond" w:hAnsi="Garamond"/>
          <w:color w:val="333333"/>
          <w:shd w:val="clear" w:color="auto" w:fill="FFFFFF" w:themeFill="background1"/>
        </w:rPr>
        <w:t> 18 (1): 70–94. doi:10.1515/zac-2014-0006.</w:t>
      </w:r>
    </w:p>
    <w:p w14:paraId="0B3302CC" w14:textId="77777777" w:rsidR="00B23D28" w:rsidRDefault="00B23D28" w:rsidP="00B23D28">
      <w:pPr>
        <w:rPr>
          <w:rFonts w:ascii="Garamond" w:hAnsi="Garamond"/>
        </w:rPr>
      </w:pPr>
    </w:p>
    <w:p w14:paraId="06DAF725" w14:textId="77777777" w:rsidR="00B23D28" w:rsidRDefault="00B23D28" w:rsidP="00B23D28">
      <w:pPr>
        <w:rPr>
          <w:rFonts w:ascii="Garamond" w:hAnsi="Garamond"/>
          <w:i/>
          <w:iCs/>
          <w:color w:val="333333"/>
          <w:bdr w:val="none" w:sz="0" w:space="0" w:color="auto" w:frame="1"/>
        </w:rPr>
      </w:pPr>
      <w:r w:rsidRPr="00801DCC">
        <w:rPr>
          <w:rFonts w:ascii="Garamond" w:hAnsi="Garamond"/>
          <w:color w:val="333333"/>
          <w:shd w:val="clear" w:color="auto" w:fill="FFFFFF" w:themeFill="background1"/>
        </w:rPr>
        <w:t>Loewe, William P. “Irenaeus’ Soteriology: Christus Victor Revisited.” </w:t>
      </w:r>
      <w:r w:rsidRPr="00801DCC">
        <w:rPr>
          <w:rFonts w:ascii="Garamond" w:hAnsi="Garamond"/>
          <w:i/>
          <w:iCs/>
          <w:color w:val="333333"/>
          <w:bdr w:val="none" w:sz="0" w:space="0" w:color="auto" w:frame="1"/>
        </w:rPr>
        <w:t xml:space="preserve">Anglican Theological </w:t>
      </w:r>
    </w:p>
    <w:p w14:paraId="080EAD28" w14:textId="6B3C62D0" w:rsidR="00B23D28" w:rsidRPr="00B23D28" w:rsidRDefault="00B23D28" w:rsidP="00B23D28">
      <w:pPr>
        <w:ind w:left="720"/>
        <w:rPr>
          <w:rFonts w:ascii="Garamond" w:hAnsi="Garamond"/>
          <w:color w:val="333333"/>
          <w:shd w:val="clear" w:color="auto" w:fill="FFFFFF" w:themeFill="background1"/>
        </w:rPr>
      </w:pPr>
      <w:r w:rsidRPr="00801DCC">
        <w:rPr>
          <w:rFonts w:ascii="Garamond" w:hAnsi="Garamond"/>
          <w:i/>
          <w:iCs/>
          <w:color w:val="333333"/>
          <w:bdr w:val="none" w:sz="0" w:space="0" w:color="auto" w:frame="1"/>
        </w:rPr>
        <w:t>Review</w:t>
      </w:r>
      <w:r w:rsidRPr="00801DCC">
        <w:rPr>
          <w:rFonts w:ascii="Garamond" w:hAnsi="Garamond"/>
          <w:color w:val="333333"/>
          <w:shd w:val="clear" w:color="auto" w:fill="FFFFFF" w:themeFill="background1"/>
        </w:rPr>
        <w:t> 67, no. 1 (January 1985): 1–15. http://search.ebscohost.com/login.aspx?direct=true&amp;db=rfh&amp;AN=ATLA0000945006&amp;site=ehost-live.</w:t>
      </w:r>
    </w:p>
    <w:p w14:paraId="36157CFF" w14:textId="77777777" w:rsidR="00B23D28" w:rsidRPr="00801DCC" w:rsidRDefault="00B23D28" w:rsidP="00B23D28">
      <w:pPr>
        <w:shd w:val="clear" w:color="auto" w:fill="FFFFFF" w:themeFill="background1"/>
        <w:rPr>
          <w:rFonts w:ascii="Garamond" w:hAnsi="Garamond"/>
        </w:rPr>
      </w:pPr>
    </w:p>
    <w:p w14:paraId="0E298B1A" w14:textId="14B8997C" w:rsidR="00B23D28" w:rsidRDefault="00B23D28" w:rsidP="00B23D28">
      <w:pPr>
        <w:shd w:val="clear" w:color="auto" w:fill="FFFFFF" w:themeFill="background1"/>
        <w:rPr>
          <w:rFonts w:ascii="Garamond" w:hAnsi="Garamond"/>
          <w:color w:val="333333"/>
          <w:shd w:val="clear" w:color="auto" w:fill="FFFFFF" w:themeFill="background1"/>
        </w:rPr>
      </w:pPr>
      <w:r w:rsidRPr="00801DCC">
        <w:rPr>
          <w:rFonts w:ascii="Garamond" w:hAnsi="Garamond"/>
          <w:color w:val="333333"/>
          <w:shd w:val="clear" w:color="auto" w:fill="FFFFFF" w:themeFill="background1"/>
        </w:rPr>
        <w:t xml:space="preserve">Noble, T A. “The </w:t>
      </w:r>
      <w:r w:rsidR="00CB6035">
        <w:rPr>
          <w:rFonts w:ascii="Garamond" w:hAnsi="Garamond"/>
          <w:color w:val="333333"/>
          <w:shd w:val="clear" w:color="auto" w:fill="FFFFFF" w:themeFill="background1"/>
        </w:rPr>
        <w:t>‘</w:t>
      </w:r>
      <w:r w:rsidRPr="00801DCC">
        <w:rPr>
          <w:rFonts w:ascii="Garamond" w:hAnsi="Garamond"/>
          <w:color w:val="333333"/>
          <w:shd w:val="clear" w:color="auto" w:fill="FFFFFF" w:themeFill="background1"/>
        </w:rPr>
        <w:t>necessity</w:t>
      </w:r>
      <w:r w:rsidR="00CB6035">
        <w:rPr>
          <w:rFonts w:ascii="Garamond" w:hAnsi="Garamond"/>
          <w:color w:val="333333"/>
          <w:shd w:val="clear" w:color="auto" w:fill="FFFFFF" w:themeFill="background1"/>
        </w:rPr>
        <w:t>’</w:t>
      </w:r>
      <w:r w:rsidRPr="00801DCC">
        <w:rPr>
          <w:rFonts w:ascii="Garamond" w:hAnsi="Garamond"/>
          <w:color w:val="333333"/>
          <w:shd w:val="clear" w:color="auto" w:fill="FFFFFF" w:themeFill="background1"/>
        </w:rPr>
        <w:t xml:space="preserve"> of Anselm: The Argument of the Cur Deus </w:t>
      </w:r>
    </w:p>
    <w:p w14:paraId="676DD1E3" w14:textId="6ACA0BEE" w:rsidR="00B23D28" w:rsidRPr="00B23D28" w:rsidRDefault="00B23D28" w:rsidP="00B23D28">
      <w:pPr>
        <w:shd w:val="clear" w:color="auto" w:fill="FFFFFF" w:themeFill="background1"/>
        <w:ind w:firstLine="720"/>
        <w:rPr>
          <w:rFonts w:ascii="Garamond" w:hAnsi="Garamond"/>
          <w:i/>
          <w:iCs/>
          <w:color w:val="333333"/>
          <w:bdr w:val="none" w:sz="0" w:space="0" w:color="auto" w:frame="1"/>
        </w:rPr>
      </w:pPr>
      <w:r w:rsidRPr="00801DCC">
        <w:rPr>
          <w:rFonts w:ascii="Garamond" w:hAnsi="Garamond"/>
          <w:color w:val="333333"/>
          <w:shd w:val="clear" w:color="auto" w:fill="FFFFFF" w:themeFill="background1"/>
        </w:rPr>
        <w:t>Homo.” </w:t>
      </w:r>
      <w:r w:rsidRPr="00801DCC">
        <w:rPr>
          <w:rFonts w:ascii="Garamond" w:hAnsi="Garamond"/>
          <w:i/>
          <w:iCs/>
          <w:color w:val="333333"/>
          <w:bdr w:val="none" w:sz="0" w:space="0" w:color="auto" w:frame="1"/>
        </w:rPr>
        <w:t>Wesleyan Theological Journal</w:t>
      </w:r>
      <w:r w:rsidRPr="00801DCC">
        <w:rPr>
          <w:rFonts w:ascii="Garamond" w:hAnsi="Garamond"/>
          <w:color w:val="333333"/>
          <w:shd w:val="clear" w:color="auto" w:fill="FFFFFF" w:themeFill="background1"/>
        </w:rPr>
        <w:t> 50, no. 1 (</w:t>
      </w:r>
      <w:proofErr w:type="spellStart"/>
      <w:r w:rsidRPr="00801DCC">
        <w:rPr>
          <w:rFonts w:ascii="Garamond" w:hAnsi="Garamond"/>
          <w:color w:val="333333"/>
          <w:shd w:val="clear" w:color="auto" w:fill="FFFFFF" w:themeFill="background1"/>
        </w:rPr>
        <w:t>Spr</w:t>
      </w:r>
      <w:proofErr w:type="spellEnd"/>
      <w:r w:rsidRPr="00801DCC">
        <w:rPr>
          <w:rFonts w:ascii="Garamond" w:hAnsi="Garamond"/>
          <w:color w:val="333333"/>
          <w:shd w:val="clear" w:color="auto" w:fill="FFFFFF" w:themeFill="background1"/>
        </w:rPr>
        <w:t xml:space="preserve"> 2015): 53–66. </w:t>
      </w:r>
    </w:p>
    <w:p w14:paraId="7B19ECDE" w14:textId="77777777" w:rsidR="00B23D28" w:rsidRPr="00801DCC" w:rsidRDefault="00B23D28" w:rsidP="00B23D28">
      <w:pPr>
        <w:shd w:val="clear" w:color="auto" w:fill="FFFFFF" w:themeFill="background1"/>
        <w:ind w:left="720"/>
        <w:rPr>
          <w:rFonts w:ascii="Garamond" w:hAnsi="Garamond"/>
        </w:rPr>
      </w:pPr>
      <w:r w:rsidRPr="00801DCC">
        <w:rPr>
          <w:rFonts w:ascii="Garamond" w:hAnsi="Garamond"/>
          <w:color w:val="333333"/>
          <w:shd w:val="clear" w:color="auto" w:fill="FFFFFF" w:themeFill="background1"/>
        </w:rPr>
        <w:t>http://search.ebscohost.com/login.aspx?direct=true&amp;db=rfh&amp;AN=ATLAn3820390&amp;site=ehost-live.</w:t>
      </w:r>
    </w:p>
    <w:p w14:paraId="2CA10712" w14:textId="77777777" w:rsidR="00B23D28" w:rsidRDefault="00B23D28" w:rsidP="00B23D28">
      <w:pPr>
        <w:rPr>
          <w:rFonts w:ascii="Garamond" w:hAnsi="Garamond"/>
        </w:rPr>
      </w:pPr>
    </w:p>
    <w:p w14:paraId="38991249" w14:textId="77777777" w:rsidR="00B23D28" w:rsidRDefault="00B23D28" w:rsidP="00B23D28">
      <w:pPr>
        <w:rPr>
          <w:rFonts w:ascii="Garamond" w:hAnsi="Garamond"/>
        </w:rPr>
      </w:pPr>
    </w:p>
    <w:p w14:paraId="0AE7DB19" w14:textId="77777777" w:rsidR="006107FA" w:rsidRDefault="006107FA" w:rsidP="003C4392">
      <w:pPr>
        <w:pStyle w:val="Body"/>
        <w:rPr>
          <w:rFonts w:ascii="Garamond" w:hAnsi="Garamond"/>
          <w:b/>
          <w:bCs/>
          <w:sz w:val="24"/>
          <w:szCs w:val="24"/>
          <w:lang w:val="en-US"/>
        </w:rPr>
      </w:pPr>
    </w:p>
    <w:p w14:paraId="70905796" w14:textId="77777777" w:rsidR="00760E2B" w:rsidRDefault="00760E2B" w:rsidP="003C4392">
      <w:pPr>
        <w:pStyle w:val="Body"/>
        <w:rPr>
          <w:rFonts w:ascii="Garamond" w:hAnsi="Garamond"/>
          <w:b/>
          <w:bCs/>
          <w:sz w:val="24"/>
          <w:szCs w:val="24"/>
          <w:lang w:val="en-US"/>
        </w:rPr>
      </w:pPr>
    </w:p>
    <w:p w14:paraId="6C7D079B" w14:textId="77777777" w:rsidR="00760E2B" w:rsidRDefault="00760E2B" w:rsidP="003C4392">
      <w:pPr>
        <w:pStyle w:val="Body"/>
        <w:rPr>
          <w:rFonts w:ascii="Garamond" w:hAnsi="Garamond"/>
          <w:b/>
          <w:bCs/>
          <w:sz w:val="24"/>
          <w:szCs w:val="24"/>
          <w:lang w:val="en-US"/>
        </w:rPr>
      </w:pPr>
    </w:p>
    <w:p w14:paraId="16045CE2" w14:textId="37E43CA1" w:rsidR="00363C47" w:rsidRPr="00197C18" w:rsidRDefault="00197C18" w:rsidP="003C4392">
      <w:pPr>
        <w:pStyle w:val="Body"/>
        <w:rPr>
          <w:rFonts w:ascii="Garamond" w:eastAsia="Times" w:hAnsi="Garamond" w:cs="Times"/>
          <w:sz w:val="24"/>
          <w:szCs w:val="24"/>
        </w:rPr>
      </w:pPr>
      <w:r>
        <w:rPr>
          <w:rFonts w:ascii="Garamond" w:hAnsi="Garamond"/>
          <w:b/>
          <w:bCs/>
          <w:sz w:val="24"/>
          <w:szCs w:val="24"/>
          <w:lang w:val="en-US"/>
        </w:rPr>
        <w:t xml:space="preserve">Important:  </w:t>
      </w:r>
      <w:r w:rsidR="00363C47" w:rsidRPr="00363C47">
        <w:rPr>
          <w:rFonts w:ascii="Garamond" w:hAnsi="Garamond"/>
          <w:bCs/>
          <w:i/>
          <w:sz w:val="24"/>
          <w:szCs w:val="24"/>
          <w:lang w:val="en-US"/>
        </w:rPr>
        <w:t xml:space="preserve">The IRT is subject </w:t>
      </w:r>
      <w:r>
        <w:rPr>
          <w:rFonts w:ascii="Garamond" w:hAnsi="Garamond"/>
          <w:bCs/>
          <w:i/>
          <w:sz w:val="24"/>
          <w:szCs w:val="24"/>
          <w:lang w:val="en-US"/>
        </w:rPr>
        <w:t xml:space="preserve">absolutely </w:t>
      </w:r>
      <w:r w:rsidR="00363C47" w:rsidRPr="00363C47">
        <w:rPr>
          <w:rFonts w:ascii="Garamond" w:hAnsi="Garamond"/>
          <w:bCs/>
          <w:i/>
          <w:sz w:val="24"/>
          <w:szCs w:val="24"/>
          <w:lang w:val="en-US"/>
        </w:rPr>
        <w:t xml:space="preserve">to the Academic Director’s approval and the availability of an expert in Oxford to guide your research. Submission of an IRT proposal and payment of the supplementary fee </w:t>
      </w:r>
      <w:r>
        <w:rPr>
          <w:rFonts w:ascii="Garamond" w:hAnsi="Garamond"/>
          <w:bCs/>
          <w:i/>
          <w:sz w:val="24"/>
          <w:szCs w:val="24"/>
          <w:lang w:val="en-US"/>
        </w:rPr>
        <w:t xml:space="preserve">does </w:t>
      </w:r>
      <w:r w:rsidR="00363C47" w:rsidRPr="00363C47">
        <w:rPr>
          <w:rFonts w:ascii="Garamond" w:hAnsi="Garamond"/>
          <w:bCs/>
          <w:i/>
          <w:sz w:val="24"/>
          <w:szCs w:val="24"/>
          <w:lang w:val="en-US"/>
        </w:rPr>
        <w:t>not guarantee acceptance.</w:t>
      </w:r>
    </w:p>
    <w:sectPr w:rsidR="00363C47" w:rsidRPr="00197C18">
      <w:headerReference w:type="default" r:id="rId7"/>
      <w:footerReference w:type="default" r:id="rId8"/>
      <w:pgSz w:w="11900"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83636" w14:textId="77777777" w:rsidR="00CF65D2" w:rsidRDefault="00CF65D2">
      <w:r>
        <w:separator/>
      </w:r>
    </w:p>
  </w:endnote>
  <w:endnote w:type="continuationSeparator" w:id="0">
    <w:p w14:paraId="3E3440C3" w14:textId="77777777" w:rsidR="00CF65D2" w:rsidRDefault="00CF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B0604020202020204"/>
    <w:charset w:val="00"/>
    <w:family w:val="roman"/>
    <w:pitch w:val="variable"/>
    <w:sig w:usb0="00000287" w:usb1="00000000" w:usb2="00000000" w:usb3="00000000" w:csb0="0000009F" w:csb1="00000000"/>
  </w:font>
  <w:font w:name="Times">
    <w:panose1 w:val="00000500000000020000"/>
    <w:charset w:val="00"/>
    <w:family w:val="auto"/>
    <w:pitch w:val="variable"/>
    <w:sig w:usb0="E0002EFF" w:usb1="D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B9C9" w14:textId="77777777" w:rsidR="003F1B85" w:rsidRDefault="003F1B8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71523" w14:textId="77777777" w:rsidR="00CF65D2" w:rsidRDefault="00CF65D2">
      <w:r>
        <w:separator/>
      </w:r>
    </w:p>
  </w:footnote>
  <w:footnote w:type="continuationSeparator" w:id="0">
    <w:p w14:paraId="072E0494" w14:textId="77777777" w:rsidR="00CF65D2" w:rsidRDefault="00CF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7FD98" w14:textId="77777777" w:rsidR="003F1B85" w:rsidRDefault="003F1B8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85"/>
    <w:rsid w:val="000342F6"/>
    <w:rsid w:val="000B4391"/>
    <w:rsid w:val="00126C2B"/>
    <w:rsid w:val="00197C18"/>
    <w:rsid w:val="0021668E"/>
    <w:rsid w:val="002313CC"/>
    <w:rsid w:val="00363C47"/>
    <w:rsid w:val="003C4392"/>
    <w:rsid w:val="003F1B85"/>
    <w:rsid w:val="00486ACF"/>
    <w:rsid w:val="004B0BC0"/>
    <w:rsid w:val="006107FA"/>
    <w:rsid w:val="00694557"/>
    <w:rsid w:val="00760E2B"/>
    <w:rsid w:val="007643C5"/>
    <w:rsid w:val="007B2C62"/>
    <w:rsid w:val="00822455"/>
    <w:rsid w:val="009320EF"/>
    <w:rsid w:val="009C433C"/>
    <w:rsid w:val="00AF76BA"/>
    <w:rsid w:val="00B23D28"/>
    <w:rsid w:val="00B45A2E"/>
    <w:rsid w:val="00C94B87"/>
    <w:rsid w:val="00CB6035"/>
    <w:rsid w:val="00CF65D2"/>
    <w:rsid w:val="00EF3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5D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pPr>
      <w:spacing w:before="100" w:after="100"/>
      <w:outlineLvl w:val="0"/>
    </w:pPr>
    <w:rPr>
      <w:rFonts w:cs="Arial Unicode MS"/>
      <w:b/>
      <w:bCs/>
      <w:color w:val="000000"/>
      <w:kern w:val="36"/>
      <w:sz w:val="48"/>
      <w:szCs w:val="48"/>
      <w:u w:color="000000"/>
    </w:rPr>
  </w:style>
  <w:style w:type="paragraph" w:customStyle="1" w:styleId="Body">
    <w:name w:val="Body"/>
    <w:rPr>
      <w:rFonts w:cs="Arial Unicode MS"/>
      <w:color w:val="000000"/>
      <w:u w:color="000000"/>
    </w:rPr>
  </w:style>
  <w:style w:type="paragraph" w:styleId="NormalWeb">
    <w:name w:val="Normal (Web)"/>
    <w:pPr>
      <w:spacing w:before="100" w:after="100"/>
    </w:pPr>
    <w:rPr>
      <w:rFonts w:eastAsia="Times New Roman"/>
      <w:color w:val="000000"/>
      <w:sz w:val="24"/>
      <w:szCs w:val="24"/>
      <w:u w:color="000000"/>
      <w:lang w:val="en-US"/>
    </w:rPr>
  </w:style>
  <w:style w:type="paragraph" w:styleId="ListParagraph">
    <w:name w:val="List Paragraph"/>
    <w:pPr>
      <w:ind w:left="720"/>
    </w:pPr>
    <w:rPr>
      <w:rFonts w:eastAsia="Times New Roman"/>
      <w:color w:val="000000"/>
      <w:u w:color="000000"/>
      <w:lang w:val="en-US"/>
    </w:rPr>
  </w:style>
  <w:style w:type="paragraph" w:styleId="BalloonText">
    <w:name w:val="Balloon Text"/>
    <w:basedOn w:val="Normal"/>
    <w:link w:val="BalloonTextChar"/>
    <w:uiPriority w:val="99"/>
    <w:semiHidden/>
    <w:unhideWhenUsed/>
    <w:rsid w:val="006107FA"/>
    <w:rPr>
      <w:sz w:val="18"/>
      <w:szCs w:val="18"/>
    </w:rPr>
  </w:style>
  <w:style w:type="character" w:customStyle="1" w:styleId="BalloonTextChar">
    <w:name w:val="Balloon Text Char"/>
    <w:basedOn w:val="DefaultParagraphFont"/>
    <w:link w:val="BalloonText"/>
    <w:uiPriority w:val="99"/>
    <w:semiHidden/>
    <w:rsid w:val="006107FA"/>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377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Johnson</dc:creator>
  <cp:lastModifiedBy>Exeter College Summer Programme</cp:lastModifiedBy>
  <cp:revision>2</cp:revision>
  <dcterms:created xsi:type="dcterms:W3CDTF">2019-10-02T10:48:00Z</dcterms:created>
  <dcterms:modified xsi:type="dcterms:W3CDTF">2019-10-02T10:48:00Z</dcterms:modified>
</cp:coreProperties>
</file>